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 w:cs="仿宋"/>
          <w:b/>
          <w:sz w:val="36"/>
          <w:szCs w:val="36"/>
          <w:lang w:eastAsia="zh-CN"/>
        </w:rPr>
      </w:pPr>
      <w:r>
        <w:rPr>
          <w:rFonts w:ascii="仿宋" w:hAnsi="仿宋" w:eastAsia="仿宋" w:cs="仿宋"/>
          <w:b/>
          <w:sz w:val="36"/>
          <w:szCs w:val="36"/>
        </w:rPr>
        <w:t>感统评估</w:t>
      </w:r>
      <w:r>
        <w:rPr>
          <w:rFonts w:ascii="仿宋" w:hAnsi="仿宋" w:eastAsia="仿宋" w:cs="仿宋"/>
          <w:b/>
          <w:sz w:val="36"/>
          <w:szCs w:val="36"/>
          <w:lang w:eastAsia="zh-CN"/>
        </w:rPr>
        <w:t>综合分析报告</w:t>
      </w:r>
    </w:p>
    <w:tbl>
      <w:tblPr>
        <w:tblStyle w:val="6"/>
        <w:tblW w:w="83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3"/>
        <w:gridCol w:w="1491"/>
        <w:gridCol w:w="1090"/>
        <w:gridCol w:w="1505"/>
        <w:gridCol w:w="1164"/>
        <w:gridCol w:w="13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753" w:type="dxa"/>
            <w:shd w:val="clear" w:color="auto" w:fill="auto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仿宋" w:hAnsi="仿宋" w:eastAsia="仿宋" w:cs="仿宋"/>
                <w:b/>
                <w:bCs w:val="0"/>
                <w:kern w:val="0"/>
                <w:sz w:val="20"/>
                <w:lang w:eastAsia="zh-CN"/>
              </w:rPr>
            </w:pP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  <w:lang w:eastAsia="zh-CN"/>
              </w:rPr>
              <w:t>评估分析人员</w:t>
            </w:r>
          </w:p>
        </w:tc>
        <w:tc>
          <w:tcPr>
            <w:tcW w:w="1491" w:type="dxa"/>
            <w:shd w:val="clear" w:color="auto" w:fill="auto"/>
            <w:vAlign w:val="center"/>
          </w:tcPr>
          <w:p>
            <w:pPr>
              <w:widowControl w:val="0"/>
              <w:spacing w:line="360" w:lineRule="auto"/>
              <w:jc w:val="both"/>
              <w:rPr>
                <w:rFonts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栾庆远</w:t>
            </w:r>
          </w:p>
        </w:tc>
        <w:tc>
          <w:tcPr>
            <w:tcW w:w="1090" w:type="dxa"/>
            <w:shd w:val="clear" w:color="auto" w:fill="auto"/>
            <w:vAlign w:val="center"/>
          </w:tcPr>
          <w:p>
            <w:pPr>
              <w:widowControl w:val="0"/>
              <w:spacing w:line="360" w:lineRule="auto"/>
              <w:jc w:val="both"/>
              <w:rPr>
                <w:rFonts w:ascii="仿宋" w:hAnsi="仿宋" w:eastAsia="仿宋" w:cs="仿宋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分析时间</w:t>
            </w:r>
          </w:p>
        </w:tc>
        <w:tc>
          <w:tcPr>
            <w:tcW w:w="1505" w:type="dxa"/>
            <w:shd w:val="clear" w:color="auto" w:fill="auto"/>
            <w:vAlign w:val="center"/>
          </w:tcPr>
          <w:p>
            <w:pPr>
              <w:widowControl w:val="0"/>
              <w:spacing w:line="360" w:lineRule="auto"/>
              <w:jc w:val="both"/>
              <w:rPr>
                <w:rFonts w:hint="default"/>
                <w:lang w:val="en-US"/>
              </w:rPr>
            </w:pP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202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01</w:t>
            </w: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01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widowControl w:val="0"/>
              <w:spacing w:line="360" w:lineRule="auto"/>
              <w:jc w:val="both"/>
              <w:rPr>
                <w:rFonts w:ascii="仿宋" w:hAnsi="仿宋" w:eastAsia="仿宋" w:cs="仿宋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审核人</w:t>
            </w:r>
          </w:p>
        </w:tc>
        <w:tc>
          <w:tcPr>
            <w:tcW w:w="1391" w:type="dxa"/>
            <w:shd w:val="clear" w:color="auto" w:fill="auto"/>
            <w:vAlign w:val="center"/>
          </w:tcPr>
          <w:p>
            <w:pPr>
              <w:widowControl w:val="0"/>
              <w:spacing w:line="360" w:lineRule="auto"/>
              <w:jc w:val="both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1753" w:type="dxa"/>
            <w:shd w:val="clear" w:color="auto" w:fill="auto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仿宋" w:hAnsi="仿宋" w:eastAsia="仿宋" w:cs="仿宋"/>
                <w:b/>
                <w:bCs w:val="0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  <w:t>学生基本资料</w:t>
            </w:r>
          </w:p>
        </w:tc>
        <w:tc>
          <w:tcPr>
            <w:tcW w:w="6641" w:type="dxa"/>
            <w:gridSpan w:val="5"/>
            <w:shd w:val="clear" w:color="auto" w:fill="auto"/>
            <w:vAlign w:val="center"/>
          </w:tcPr>
          <w:p>
            <w:pPr>
              <w:widowControl w:val="0"/>
              <w:spacing w:line="360" w:lineRule="auto"/>
              <w:jc w:val="left"/>
              <w:rPr>
                <w:rFonts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姓名：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叶萱妍</w:t>
            </w: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，性别：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女</w:t>
            </w: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，出生年月：20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15</w:t>
            </w: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08</w:t>
            </w: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22</w:t>
            </w: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日。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临床诊断：智力障碍。诊断医院：深圳市儿童医院。有癫痫病史。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53" w:type="dxa"/>
            <w:vMerge w:val="restart"/>
            <w:shd w:val="clear" w:color="auto" w:fill="auto"/>
            <w:vAlign w:val="center"/>
          </w:tcPr>
          <w:p>
            <w:pPr>
              <w:widowControl w:val="0"/>
              <w:spacing w:line="312" w:lineRule="auto"/>
              <w:jc w:val="center"/>
              <w:rPr>
                <w:rFonts w:ascii="仿宋" w:hAnsi="仿宋" w:eastAsia="仿宋" w:cs="仿宋"/>
                <w:b/>
                <w:bCs w:val="0"/>
                <w:kern w:val="0"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  <w:t>评估时的基本情况（评估时间、评估人、参与者、评估过程情况、孩子配合度、情绪表现、行为表现等）</w:t>
            </w:r>
          </w:p>
        </w:tc>
        <w:tc>
          <w:tcPr>
            <w:tcW w:w="6641" w:type="dxa"/>
            <w:gridSpan w:val="5"/>
            <w:shd w:val="clear" w:color="auto" w:fill="auto"/>
            <w:vAlign w:val="center"/>
          </w:tcPr>
          <w:p>
            <w:pPr>
              <w:widowControl w:val="0"/>
              <w:spacing w:line="360" w:lineRule="auto"/>
              <w:jc w:val="left"/>
              <w:rPr>
                <w:rFonts w:hint="default" w:ascii="仿宋" w:hAnsi="仿宋" w:eastAsia="仿宋" w:cs="仿宋"/>
                <w:b w:val="0"/>
                <w:bCs/>
                <w:kern w:val="0"/>
                <w:sz w:val="21"/>
                <w:szCs w:val="21"/>
                <w:lang w:val="en-US"/>
              </w:rPr>
            </w:pP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评估时间：202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01</w:t>
            </w: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753" w:type="dxa"/>
            <w:vMerge w:val="continue"/>
            <w:shd w:val="clear" w:color="auto" w:fill="auto"/>
            <w:vAlign w:val="center"/>
          </w:tcPr>
          <w:p>
            <w:pPr>
              <w:widowControl w:val="0"/>
              <w:spacing w:line="312" w:lineRule="auto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6641" w:type="dxa"/>
            <w:gridSpan w:val="5"/>
            <w:shd w:val="clear" w:color="auto" w:fill="auto"/>
            <w:vAlign w:val="center"/>
          </w:tcPr>
          <w:p>
            <w:pPr>
              <w:widowControl w:val="0"/>
              <w:spacing w:line="360" w:lineRule="auto"/>
              <w:jc w:val="left"/>
              <w:rPr>
                <w:rFonts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评估人：栾庆远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753" w:type="dxa"/>
            <w:vMerge w:val="continue"/>
            <w:shd w:val="clear" w:color="auto" w:fill="auto"/>
            <w:vAlign w:val="center"/>
          </w:tcPr>
          <w:p>
            <w:pPr>
              <w:widowControl w:val="0"/>
              <w:spacing w:line="312" w:lineRule="auto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6641" w:type="dxa"/>
            <w:gridSpan w:val="5"/>
            <w:shd w:val="clear" w:color="auto" w:fill="auto"/>
            <w:vAlign w:val="center"/>
          </w:tcPr>
          <w:p>
            <w:pPr>
              <w:widowControl w:val="0"/>
              <w:spacing w:line="360" w:lineRule="auto"/>
              <w:jc w:val="left"/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</w:rPr>
              <w:t>参与者：栾庆远，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lang w:eastAsia="zh-CN"/>
              </w:rPr>
              <w:t>叶萱妍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753" w:type="dxa"/>
            <w:vMerge w:val="continue"/>
            <w:shd w:val="clear" w:color="auto" w:fill="auto"/>
            <w:vAlign w:val="center"/>
          </w:tcPr>
          <w:p>
            <w:pPr>
              <w:widowControl w:val="0"/>
              <w:spacing w:line="312" w:lineRule="auto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6641" w:type="dxa"/>
            <w:gridSpan w:val="5"/>
            <w:shd w:val="clear" w:color="auto" w:fill="auto"/>
            <w:vAlign w:val="center"/>
          </w:tcPr>
          <w:p>
            <w:pPr>
              <w:widowControl w:val="0"/>
              <w:spacing w:line="360" w:lineRule="auto"/>
              <w:jc w:val="left"/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</w:rPr>
              <w:t>评估过程：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lang w:val="en-US" w:eastAsia="zh-CN"/>
              </w:rPr>
              <w:t>基本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lang w:eastAsia="zh-CN"/>
              </w:rPr>
              <w:t>顺利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753" w:type="dxa"/>
            <w:vMerge w:val="continue"/>
            <w:shd w:val="clear" w:color="auto" w:fill="auto"/>
            <w:vAlign w:val="center"/>
          </w:tcPr>
          <w:p>
            <w:pPr>
              <w:widowControl w:val="0"/>
              <w:spacing w:line="312" w:lineRule="auto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6641" w:type="dxa"/>
            <w:gridSpan w:val="5"/>
            <w:shd w:val="clear" w:color="auto" w:fill="auto"/>
            <w:vAlign w:val="center"/>
          </w:tcPr>
          <w:p>
            <w:pPr>
              <w:widowControl w:val="0"/>
              <w:spacing w:line="360" w:lineRule="auto"/>
              <w:jc w:val="left"/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</w:rPr>
              <w:t>孩子配合度：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lang w:eastAsia="zh-CN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753" w:type="dxa"/>
            <w:vMerge w:val="continue"/>
            <w:shd w:val="clear" w:color="auto" w:fill="auto"/>
            <w:vAlign w:val="center"/>
          </w:tcPr>
          <w:p>
            <w:pPr>
              <w:widowControl w:val="0"/>
              <w:spacing w:line="312" w:lineRule="auto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6641" w:type="dxa"/>
            <w:gridSpan w:val="5"/>
            <w:shd w:val="clear" w:color="auto" w:fill="auto"/>
            <w:vAlign w:val="center"/>
          </w:tcPr>
          <w:p>
            <w:pPr>
              <w:widowControl w:val="0"/>
              <w:spacing w:line="360" w:lineRule="auto"/>
              <w:jc w:val="left"/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</w:rPr>
              <w:t>情绪表现：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lang w:val="en-US" w:eastAsia="zh-CN"/>
              </w:rPr>
              <w:t>紧张，有分离焦虑。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753" w:type="dxa"/>
            <w:vMerge w:val="continue"/>
            <w:shd w:val="clear" w:color="auto" w:fill="auto"/>
            <w:vAlign w:val="center"/>
          </w:tcPr>
          <w:p>
            <w:pPr>
              <w:widowControl w:val="0"/>
              <w:spacing w:line="312" w:lineRule="auto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6641" w:type="dxa"/>
            <w:gridSpan w:val="5"/>
            <w:shd w:val="clear" w:color="auto" w:fill="auto"/>
            <w:vAlign w:val="center"/>
          </w:tcPr>
          <w:p>
            <w:pPr>
              <w:widowControl w:val="0"/>
              <w:spacing w:line="360" w:lineRule="auto"/>
              <w:jc w:val="left"/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</w:rPr>
              <w:t>行为表现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lang w:val="en-US" w:eastAsia="zh-CN"/>
              </w:rPr>
              <w:t>抗拒进教室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753" w:type="dxa"/>
            <w:shd w:val="clear" w:color="auto" w:fill="auto"/>
            <w:vAlign w:val="center"/>
          </w:tcPr>
          <w:p>
            <w:pPr>
              <w:widowControl w:val="0"/>
              <w:spacing w:line="312" w:lineRule="auto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  <w:t>评估结果</w:t>
            </w:r>
          </w:p>
        </w:tc>
        <w:tc>
          <w:tcPr>
            <w:tcW w:w="6641" w:type="dxa"/>
            <w:gridSpan w:val="5"/>
            <w:shd w:val="clear" w:color="auto" w:fill="auto"/>
            <w:vAlign w:val="center"/>
          </w:tcPr>
          <w:p>
            <w:pPr>
              <w:widowControl w:val="0"/>
              <w:spacing w:line="360" w:lineRule="auto"/>
              <w:jc w:val="left"/>
              <w:rPr>
                <w:rFonts w:hint="default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感统评估量表：大肌肉及平衡能力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34</w:t>
            </w: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分，触觉敏感及情绪稳定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62</w:t>
            </w: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分，本体感及协调能力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28</w:t>
            </w: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分，视听觉及学习能力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分</w:t>
            </w:r>
          </w:p>
          <w:p>
            <w:pPr>
              <w:widowControl w:val="0"/>
              <w:spacing w:line="360" w:lineRule="auto"/>
              <w:jc w:val="left"/>
              <w:rPr>
                <w:rFonts w:hint="default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 xml:space="preserve">         </w:t>
            </w:r>
            <w:r>
              <w:drawing>
                <wp:inline distT="0" distB="0" distL="114300" distR="114300">
                  <wp:extent cx="2524760" cy="4104640"/>
                  <wp:effectExtent l="0" t="0" r="8890" b="1016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3758" t="818" r="2862" b="28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4760" cy="410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1753" w:type="dxa"/>
            <w:shd w:val="clear" w:color="auto" w:fill="auto"/>
            <w:vAlign w:val="center"/>
          </w:tcPr>
          <w:p>
            <w:pPr>
              <w:widowControl w:val="0"/>
              <w:spacing w:line="312" w:lineRule="auto"/>
              <w:jc w:val="center"/>
              <w:rPr>
                <w:rFonts w:ascii="仿宋" w:hAnsi="仿宋" w:eastAsia="仿宋" w:cs="仿宋"/>
                <w:b/>
                <w:bCs w:val="0"/>
                <w:kern w:val="0"/>
                <w:sz w:val="20"/>
              </w:rPr>
            </w:pP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  <w:t>评估结果综合情况分析</w:t>
            </w:r>
          </w:p>
        </w:tc>
        <w:tc>
          <w:tcPr>
            <w:tcW w:w="6641" w:type="dxa"/>
            <w:gridSpan w:val="5"/>
            <w:shd w:val="clear" w:color="auto" w:fill="auto"/>
            <w:vAlign w:val="center"/>
          </w:tcPr>
          <w:p>
            <w:pPr>
              <w:widowControl w:val="0"/>
              <w:numPr>
                <w:numId w:val="0"/>
              </w:numPr>
              <w:spacing w:line="360" w:lineRule="auto"/>
              <w:ind w:firstLine="482" w:firstLineChars="20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 xml:space="preserve">感觉统合能力分析   </w:t>
            </w:r>
          </w:p>
          <w:p>
            <w:pPr>
              <w:widowControl w:val="0"/>
              <w:numPr>
                <w:numId w:val="0"/>
              </w:numPr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一、感知觉与动作能力优势分析</w:t>
            </w:r>
          </w:p>
          <w:p>
            <w:pPr>
              <w:widowControl w:val="0"/>
              <w:numPr>
                <w:numId w:val="0"/>
              </w:numPr>
              <w:spacing w:line="360" w:lineRule="auto"/>
              <w:ind w:firstLine="482" w:firstLineChars="20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 xml:space="preserve">1. 前庭觉： </w:t>
            </w:r>
          </w:p>
          <w:p>
            <w:pPr>
              <w:widowControl w:val="0"/>
              <w:numPr>
                <w:numId w:val="0"/>
              </w:numPr>
              <w:spacing w:line="360" w:lineRule="auto"/>
              <w:ind w:firstLine="482" w:firstLineChars="20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 xml:space="preserve">- 喜欢荡秋千，主动寻求前庭刺激，对旋转、晃动的耐受性较好。 </w:t>
            </w:r>
          </w:p>
          <w:p>
            <w:pPr>
              <w:widowControl w:val="0"/>
              <w:numPr>
                <w:numId w:val="0"/>
              </w:numPr>
              <w:spacing w:line="360" w:lineRule="auto"/>
              <w:ind w:firstLine="482" w:firstLineChars="20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 xml:space="preserve">- 能独立跳绳，具备基础的头部位置控制和前庭觉调节能力 </w:t>
            </w:r>
          </w:p>
          <w:p>
            <w:pPr>
              <w:widowControl w:val="0"/>
              <w:numPr>
                <w:numId w:val="0"/>
              </w:numPr>
              <w:spacing w:line="360" w:lineRule="auto"/>
              <w:ind w:firstLine="482" w:firstLineChars="20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 xml:space="preserve">2. 本体觉： </w:t>
            </w:r>
          </w:p>
          <w:p>
            <w:pPr>
              <w:widowControl w:val="0"/>
              <w:numPr>
                <w:numId w:val="0"/>
              </w:numPr>
              <w:spacing w:line="360" w:lineRule="auto"/>
              <w:ind w:firstLine="482" w:firstLineChars="20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- 可完成翻跟头动作，对肢体空间位置有基本感知，躯干核心力量存在基础。</w:t>
            </w:r>
          </w:p>
          <w:p>
            <w:pPr>
              <w:widowControl w:val="0"/>
              <w:numPr>
                <w:numId w:val="0"/>
              </w:numPr>
              <w:spacing w:line="360" w:lineRule="auto"/>
              <w:ind w:firstLine="482" w:firstLineChars="20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 xml:space="preserve">- 跳绳时能自主控制跳跃节奏，肢体大肌肉群配合有一定协调性。 </w:t>
            </w:r>
          </w:p>
          <w:p>
            <w:pPr>
              <w:widowControl w:val="0"/>
              <w:numPr>
                <w:numId w:val="0"/>
              </w:numPr>
              <w:spacing w:line="360" w:lineRule="auto"/>
              <w:ind w:firstLine="482" w:firstLineChars="20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3. 触觉：</w:t>
            </w:r>
          </w:p>
          <w:p>
            <w:pPr>
              <w:widowControl w:val="0"/>
              <w:numPr>
                <w:numId w:val="0"/>
              </w:numPr>
              <w:spacing w:line="360" w:lineRule="auto"/>
              <w:ind w:firstLine="482" w:firstLineChars="20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- 无明显触觉过敏或迟钝表现，能配合日常接触（如穿衣、握笔），触觉接受度良好。</w:t>
            </w:r>
          </w:p>
          <w:p>
            <w:pPr>
              <w:widowControl w:val="0"/>
              <w:numPr>
                <w:numId w:val="0"/>
              </w:numPr>
              <w:spacing w:line="360" w:lineRule="auto"/>
              <w:ind w:firstLine="482" w:firstLineChars="20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4. 大运动：</w:t>
            </w:r>
          </w:p>
          <w:p>
            <w:pPr>
              <w:widowControl w:val="0"/>
              <w:numPr>
                <w:numId w:val="0"/>
              </w:numPr>
              <w:spacing w:line="360" w:lineRule="auto"/>
              <w:ind w:firstLine="482" w:firstLineChars="20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- 具备独立行走、跳跃、翻跟头能力，大肌肉群控制基础存在，能完成单一动作模式。</w:t>
            </w:r>
          </w:p>
          <w:p>
            <w:pPr>
              <w:widowControl w:val="0"/>
              <w:numPr>
                <w:numId w:val="0"/>
              </w:numPr>
              <w:spacing w:line="360" w:lineRule="auto"/>
              <w:ind w:firstLine="482" w:firstLineChars="20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 xml:space="preserve">5. 精细动作： </w:t>
            </w:r>
          </w:p>
          <w:p>
            <w:pPr>
              <w:widowControl w:val="0"/>
              <w:numPr>
                <w:numId w:val="0"/>
              </w:numPr>
              <w:spacing w:line="360" w:lineRule="auto"/>
              <w:ind w:firstLine="482" w:firstLineChars="20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- 能握笔完成画圈、点点等基础动作，手部抓握与释放功能正常。</w:t>
            </w:r>
          </w:p>
          <w:p>
            <w:pPr>
              <w:widowControl w:val="0"/>
              <w:numPr>
                <w:numId w:val="0"/>
              </w:numPr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 xml:space="preserve">二、感知觉与动作能力劣势分析 </w:t>
            </w:r>
          </w:p>
          <w:p>
            <w:pPr>
              <w:widowControl w:val="0"/>
              <w:numPr>
                <w:numId w:val="0"/>
              </w:numPr>
              <w:spacing w:line="360" w:lineRule="auto"/>
              <w:ind w:firstLine="482" w:firstLineChars="20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1. 前庭觉：</w:t>
            </w:r>
          </w:p>
          <w:p>
            <w:pPr>
              <w:widowControl w:val="0"/>
              <w:numPr>
                <w:numId w:val="0"/>
              </w:numPr>
              <w:spacing w:line="360" w:lineRule="auto"/>
              <w:ind w:firstLine="482" w:firstLineChars="20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- 平衡能力极差，单脚站立、走平衡木时易倾倒，前庭觉对身体姿态的调节功能不足。</w:t>
            </w:r>
          </w:p>
          <w:p>
            <w:pPr>
              <w:widowControl w:val="0"/>
              <w:numPr>
                <w:numId w:val="0"/>
              </w:numPr>
              <w:spacing w:line="360" w:lineRule="auto"/>
              <w:ind w:firstLine="482" w:firstLineChars="20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- 头部快速转动或体位变化时（如翻跟头后）易失衡，前庭-本体觉整合能力弱。</w:t>
            </w:r>
          </w:p>
          <w:p>
            <w:pPr>
              <w:widowControl w:val="0"/>
              <w:numPr>
                <w:numId w:val="0"/>
              </w:numPr>
              <w:spacing w:line="360" w:lineRule="auto"/>
              <w:ind w:firstLine="482" w:firstLineChars="20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 xml:space="preserve">2. 本体觉： </w:t>
            </w:r>
          </w:p>
          <w:p>
            <w:pPr>
              <w:widowControl w:val="0"/>
              <w:numPr>
                <w:numId w:val="0"/>
              </w:numPr>
              <w:spacing w:line="360" w:lineRule="auto"/>
              <w:ind w:firstLine="482" w:firstLineChars="20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- 攀爬、跳跃动作笨拙，肢体力量控制不足（如跳跃高度低、落地不稳），动作连贯性差（跳绳时手脚脱节）。</w:t>
            </w:r>
          </w:p>
          <w:p>
            <w:pPr>
              <w:widowControl w:val="0"/>
              <w:numPr>
                <w:numId w:val="0"/>
              </w:numPr>
              <w:spacing w:line="360" w:lineRule="auto"/>
              <w:ind w:firstLine="482" w:firstLineChars="20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 xml:space="preserve">- 翻跟头时身体折叠不充分，落地姿势控制差，本体觉对动作序列的规划能力弱。 </w:t>
            </w:r>
          </w:p>
          <w:p>
            <w:pPr>
              <w:widowControl w:val="0"/>
              <w:numPr>
                <w:numId w:val="0"/>
              </w:numPr>
              <w:spacing w:line="360" w:lineRule="auto"/>
              <w:ind w:firstLine="482" w:firstLineChars="20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 xml:space="preserve">3. 触觉： </w:t>
            </w:r>
          </w:p>
          <w:p>
            <w:pPr>
              <w:widowControl w:val="0"/>
              <w:numPr>
                <w:numId w:val="0"/>
              </w:numPr>
              <w:spacing w:line="360" w:lineRule="auto"/>
              <w:ind w:firstLine="482" w:firstLineChars="20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- 写字、画圈时用力过大，线条粗且范围大，触觉对力度控制的反馈不敏感，精细动作精准度不足。</w:t>
            </w:r>
          </w:p>
          <w:p>
            <w:pPr>
              <w:widowControl w:val="0"/>
              <w:numPr>
                <w:numId w:val="0"/>
              </w:numPr>
              <w:spacing w:line="360" w:lineRule="auto"/>
              <w:ind w:firstLine="482" w:firstLineChars="20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 xml:space="preserve"> 4. 大运动：</w:t>
            </w:r>
          </w:p>
          <w:p>
            <w:pPr>
              <w:widowControl w:val="0"/>
              <w:numPr>
                <w:numId w:val="0"/>
              </w:numPr>
              <w:spacing w:line="360" w:lineRule="auto"/>
              <w:ind w:firstLine="482" w:firstLineChars="20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 xml:space="preserve">- 身体协调性差，复杂动作（如连续攀爬、侧方位移动）执行困难，上下肢配合不同步（如翻跟头时手脚动作脱节）。 </w:t>
            </w:r>
          </w:p>
          <w:p>
            <w:pPr>
              <w:widowControl w:val="0"/>
              <w:numPr>
                <w:numId w:val="0"/>
              </w:numPr>
              <w:spacing w:line="360" w:lineRule="auto"/>
              <w:ind w:firstLine="482" w:firstLineChars="20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- 动作流畅性不足，重复动作（如跳绳、翻跟头）的节奏与连贯性明显落后于同龄儿童。</w:t>
            </w:r>
          </w:p>
          <w:p>
            <w:pPr>
              <w:widowControl w:val="0"/>
              <w:numPr>
                <w:numId w:val="0"/>
              </w:numPr>
              <w:spacing w:line="360" w:lineRule="auto"/>
              <w:ind w:firstLine="482" w:firstLineChars="20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5. 精细动作：</w:t>
            </w:r>
          </w:p>
          <w:p>
            <w:pPr>
              <w:widowControl w:val="0"/>
              <w:numPr>
                <w:numId w:val="0"/>
              </w:numPr>
              <w:spacing w:line="360" w:lineRule="auto"/>
              <w:ind w:firstLine="482" w:firstLineChars="200"/>
              <w:jc w:val="left"/>
              <w:rPr>
                <w:rFonts w:hint="eastAsia" w:eastAsia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- 点点动作易转化为画圈，手指灵活性不足，无法精准控制笔尖轨迹，手部小肌肉群力量弱（握笔姿势不稳定）。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6" w:hRule="atLeast"/>
        </w:trPr>
        <w:tc>
          <w:tcPr>
            <w:tcW w:w="1753" w:type="dxa"/>
            <w:shd w:val="clear" w:color="auto" w:fill="auto"/>
            <w:vAlign w:val="center"/>
          </w:tcPr>
          <w:p>
            <w:pPr>
              <w:widowControl w:val="0"/>
              <w:spacing w:line="312" w:lineRule="auto"/>
              <w:jc w:val="center"/>
              <w:rPr>
                <w:rFonts w:ascii="仿宋" w:hAnsi="仿宋" w:eastAsia="仿宋" w:cs="仿宋"/>
                <w:b/>
                <w:bCs w:val="0"/>
                <w:kern w:val="0"/>
                <w:sz w:val="20"/>
              </w:rPr>
            </w:pP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  <w:t>康复</w:t>
            </w: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  <w:lang w:eastAsia="zh-CN"/>
              </w:rPr>
              <w:t>目标和</w:t>
            </w: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  <w:t>建议</w:t>
            </w:r>
          </w:p>
        </w:tc>
        <w:tc>
          <w:tcPr>
            <w:tcW w:w="6641" w:type="dxa"/>
            <w:gridSpan w:val="5"/>
            <w:shd w:val="clear" w:color="auto" w:fill="auto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ind w:firstLine="482" w:firstLineChars="20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  <w:t>康复</w:t>
            </w: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  <w:lang w:eastAsia="zh-CN"/>
              </w:rPr>
              <w:t>目标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zh-CN"/>
              </w:rPr>
              <w:t>和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干预计划</w:t>
            </w: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ind w:firstLine="482" w:firstLineChars="20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1. 前庭觉训练：</w:t>
            </w: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ind w:firstLine="482" w:firstLineChars="20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- 利用孩子对荡秋千的兴趣，增加秋千摆动幅度与速度（需保护），强化前庭对速度变化的适应。</w:t>
            </w: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ind w:firstLine="482" w:firstLineChars="20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- 平衡木行走（双手扶杆）、坐羊角球左右摆动，每日2次，每次10分钟，改善平衡调节能力。</w:t>
            </w: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ind w:firstLine="482" w:firstLineChars="20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 xml:space="preserve">2. 本体觉强化： </w:t>
            </w: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ind w:firstLine="482" w:firstLineChars="20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- 翻跟头分段练习：先练前滚翻，再逐步整合手脚动作，辅助练习后滚翻。</w:t>
            </w: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ind w:firstLine="482" w:firstLineChars="20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- 攀爬架阶梯训练（保护下），抛接球游戏（距离1-2米），提升肢体定位与力量控制。</w:t>
            </w: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ind w:firstLine="482" w:firstLineChars="20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3. 触觉调节训练：</w:t>
            </w: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ind w:firstLine="482" w:firstLineChars="20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- 握笔力度控制：用不同硬度的笔在网格纸上画细线、点小圆点，配合触觉提示（轻拍手腕）。</w:t>
            </w: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ind w:firstLine="482" w:firstLineChars="20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- 触觉感知游戏：触摸不同材质物品（砂纸、毛绒）并描述感受，增强触觉分辨力。</w:t>
            </w: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ind w:firstLine="482" w:firstLineChars="20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4. 大运动整合：</w:t>
            </w: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ind w:firstLine="482" w:firstLineChars="20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- 障碍跑组合训练（跨越软垫、钻爬隧道、翻跟头），每周2-3次，提升动作连贯性。</w:t>
            </w: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ind w:firstLine="482" w:firstLineChars="20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- 跳绳节奏训练：跟随节拍器练习摇绳与跳跃同步，每日5分钟，强化连续性。</w:t>
            </w: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ind w:firstLine="482" w:firstLineChars="20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 xml:space="preserve"> 5. 精细动作优化：</w:t>
            </w: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ind w:firstLine="482" w:firstLineChars="20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- 捏黏土塑形（揉小球、搓细条），增强手指灵活性；用镊子夹豆子放入小孔，练习精准控制。</w:t>
            </w: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ind w:firstLine="482" w:firstLineChars="20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- 描线训练：从粗线条到细线条，在限定圆圈内画点，逐步改善书写力度与范围控制。</w:t>
            </w: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ind w:firstLine="482" w:firstLineChars="20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医疗与家庭配合</w:t>
            </w: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ind w:firstLine="482" w:firstLineChars="20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- 癫痫管理：训练中避免过度旋转或疲劳，发作后暂停活动；荡秋千时控制速度，避免诱发眩晕。</w:t>
            </w: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ind w:firstLine="482" w:firstLineChars="200"/>
              <w:jc w:val="left"/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- 家庭延伸：日常让孩子自主扣纽扣、拉拉链，洗澡时用海绵刷擦身体强化触觉；记录翻跟头、跳绳的连贯性进步。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753" w:type="dxa"/>
            <w:shd w:val="clear" w:color="auto" w:fill="auto"/>
            <w:vAlign w:val="center"/>
          </w:tcPr>
          <w:p>
            <w:pPr>
              <w:widowControl w:val="0"/>
              <w:spacing w:line="312" w:lineRule="auto"/>
              <w:jc w:val="center"/>
              <w:rPr>
                <w:rFonts w:ascii="仿宋" w:hAnsi="仿宋" w:eastAsia="仿宋" w:cs="仿宋"/>
                <w:b/>
                <w:bCs w:val="0"/>
                <w:kern w:val="0"/>
                <w:sz w:val="20"/>
              </w:rPr>
            </w:pP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  <w:t>初定课程</w:t>
            </w:r>
          </w:p>
        </w:tc>
        <w:tc>
          <w:tcPr>
            <w:tcW w:w="6641" w:type="dxa"/>
            <w:gridSpan w:val="5"/>
            <w:shd w:val="clear" w:color="auto" w:fill="auto"/>
            <w:vAlign w:val="center"/>
          </w:tcPr>
          <w:p>
            <w:pPr>
              <w:widowControl w:val="0"/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zh-CN"/>
              </w:rPr>
              <w:t>感统、认知、语言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1753" w:type="dxa"/>
            <w:shd w:val="clear" w:color="auto" w:fill="auto"/>
            <w:vAlign w:val="center"/>
          </w:tcPr>
          <w:p>
            <w:pPr>
              <w:widowControl w:val="0"/>
              <w:spacing w:line="312" w:lineRule="auto"/>
              <w:jc w:val="center"/>
              <w:rPr>
                <w:rFonts w:ascii="仿宋" w:hAnsi="仿宋" w:eastAsia="仿宋" w:cs="仿宋"/>
                <w:b/>
                <w:bCs w:val="0"/>
                <w:kern w:val="0"/>
                <w:sz w:val="20"/>
              </w:rPr>
            </w:pP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  <w:t>家长的期望</w:t>
            </w:r>
          </w:p>
        </w:tc>
        <w:tc>
          <w:tcPr>
            <w:tcW w:w="6641" w:type="dxa"/>
            <w:gridSpan w:val="5"/>
            <w:shd w:val="clear" w:color="auto" w:fill="auto"/>
            <w:vAlign w:val="center"/>
          </w:tcPr>
          <w:p>
            <w:pPr>
              <w:widowControl w:val="0"/>
              <w:spacing w:line="312" w:lineRule="auto"/>
              <w:jc w:val="both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 w:val="0"/>
              <w:spacing w:line="312" w:lineRule="auto"/>
              <w:jc w:val="both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 w:val="0"/>
              <w:spacing w:line="312" w:lineRule="auto"/>
              <w:jc w:val="both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 w:val="0"/>
              <w:spacing w:line="312" w:lineRule="auto"/>
              <w:jc w:val="both"/>
            </w:pP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  <w:t xml:space="preserve">                             家长签名：</w:t>
            </w:r>
          </w:p>
        </w:tc>
      </w:tr>
    </w:tbl>
    <w:p/>
    <w:sectPr>
      <w:pgSz w:w="11906" w:h="16838"/>
      <w:pgMar w:top="1440" w:right="1800" w:bottom="1440" w:left="1800" w:header="0" w:footer="0" w:gutter="0"/>
      <w:pgNumType w:fmt="decimal"/>
      <w:cols w:space="720" w:num="1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420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5YzY5YzVlYjVlNGQ3OTg2ZjY4MWFlNDg2NmI4MWQifQ=="/>
  </w:docVars>
  <w:rsids>
    <w:rsidRoot w:val="00000000"/>
    <w:rsid w:val="0FB5639E"/>
    <w:rsid w:val="1878411D"/>
    <w:rsid w:val="281E2C63"/>
    <w:rsid w:val="44603277"/>
    <w:rsid w:val="54BD46E2"/>
    <w:rsid w:val="5A7B06AE"/>
    <w:rsid w:val="5FD95CF8"/>
    <w:rsid w:val="64A63CB5"/>
    <w:rsid w:val="75274E2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bidi w:val="0"/>
      <w:jc w:val="both"/>
    </w:pPr>
    <w:rPr>
      <w:rFonts w:ascii="Times New Roman" w:hAnsi="Times New Roman" w:cs="Times New Roman" w:eastAsiaTheme="minorEastAsia"/>
      <w:color w:val="auto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autoRedefine/>
    <w:qFormat/>
    <w:uiPriority w:val="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3">
    <w:name w:val="Body Text"/>
    <w:basedOn w:val="1"/>
    <w:autoRedefine/>
    <w:qFormat/>
    <w:uiPriority w:val="0"/>
    <w:pPr>
      <w:spacing w:before="0" w:after="140" w:line="276" w:lineRule="auto"/>
    </w:pPr>
  </w:style>
  <w:style w:type="paragraph" w:styleId="4">
    <w:name w:val="List"/>
    <w:basedOn w:val="3"/>
    <w:autoRedefine/>
    <w:qFormat/>
    <w:uiPriority w:val="0"/>
    <w:rPr>
      <w:rFonts w:cs="Arial"/>
    </w:rPr>
  </w:style>
  <w:style w:type="table" w:styleId="6">
    <w:name w:val="Table Grid"/>
    <w:basedOn w:val="5"/>
    <w:autoRedefine/>
    <w:qFormat/>
    <w:uiPriority w:val="0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标题样式"/>
    <w:basedOn w:val="1"/>
    <w:next w:val="3"/>
    <w:autoRedefine/>
    <w:qFormat/>
    <w:uiPriority w:val="0"/>
    <w:pPr>
      <w:keepNext/>
      <w:spacing w:before="240" w:after="120"/>
    </w:pPr>
    <w:rPr>
      <w:rFonts w:ascii="Arial" w:hAnsi="Arial" w:eastAsia="微软雅黑" w:cs="Arial"/>
      <w:sz w:val="28"/>
      <w:szCs w:val="28"/>
    </w:rPr>
  </w:style>
  <w:style w:type="paragraph" w:customStyle="1" w:styleId="9">
    <w:name w:val="索引"/>
    <w:basedOn w:val="1"/>
    <w:autoRedefine/>
    <w:qFormat/>
    <w:uiPriority w:val="0"/>
    <w:pPr>
      <w:suppressLineNumbers/>
    </w:pPr>
    <w:rPr>
      <w:rFonts w:cs="Arial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597</Words>
  <Characters>630</Characters>
  <Paragraphs>33</Paragraphs>
  <TotalTime>17</TotalTime>
  <ScaleCrop>false</ScaleCrop>
  <LinksUpToDate>false</LinksUpToDate>
  <CharactersWithSpaces>659</CharactersWithSpaces>
  <Application>WPS Office_12.1.0.16120_F1E327BC-269C-435d-A152-05C5408002CA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2022-01-06T02:31:00Z</dcterms:created>
  <dc:creator>DZX(邓志雄)</dc:creator>
  <cp:lastModifiedBy>半支铅笔</cp:lastModifiedBy>
  <dcterms:modified xsi:type="dcterms:W3CDTF">2025-06-11T10:50:55Z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ICV">
    <vt:lpwstr>6AE7F7FBDC204E81A683AE8EBAE8EDC8</vt:lpwstr>
  </property>
  <property fmtid="{D5CDD505-2E9C-101B-9397-08002B2CF9AE}" pid="4" name="KSOProductBuildVer">
    <vt:lpwstr>2052-12.1.0.16120</vt:lpwstr>
  </property>
  <property fmtid="{D5CDD505-2E9C-101B-9397-08002B2CF9AE}" pid="5" name="LinksUpToDate">
    <vt:bool>false</vt:bool>
  </property>
  <property fmtid="{D5CDD505-2E9C-101B-9397-08002B2CF9AE}" pid="6" name="ScaleCrop">
    <vt:bool>false</vt:bool>
  </property>
</Properties>
</file>